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40" w:rsidRPr="00AD42A0" w:rsidRDefault="00813440" w:rsidP="00813440">
      <w:pPr>
        <w:jc w:val="center"/>
        <w:rPr>
          <w:rFonts w:ascii="Arial" w:hAnsi="Arial" w:cs="Arial"/>
          <w:color w:val="00B050"/>
          <w:sz w:val="40"/>
          <w:szCs w:val="40"/>
        </w:rPr>
      </w:pPr>
      <w:r w:rsidRPr="00AD42A0">
        <w:rPr>
          <w:rFonts w:ascii="Arial" w:hAnsi="Arial" w:cs="Arial"/>
          <w:color w:val="00B050"/>
          <w:sz w:val="40"/>
          <w:szCs w:val="40"/>
        </w:rPr>
        <w:t xml:space="preserve">Verein zur Kultivierung der St. </w:t>
      </w:r>
      <w:proofErr w:type="spellStart"/>
      <w:r w:rsidRPr="00AD42A0">
        <w:rPr>
          <w:rFonts w:ascii="Arial" w:hAnsi="Arial" w:cs="Arial"/>
          <w:color w:val="00B050"/>
          <w:sz w:val="40"/>
          <w:szCs w:val="40"/>
        </w:rPr>
        <w:t>Georgener</w:t>
      </w:r>
      <w:proofErr w:type="spellEnd"/>
      <w:r w:rsidRPr="00AD42A0">
        <w:rPr>
          <w:rFonts w:ascii="Arial" w:hAnsi="Arial" w:cs="Arial"/>
          <w:color w:val="00B050"/>
          <w:sz w:val="40"/>
          <w:szCs w:val="40"/>
        </w:rPr>
        <w:t xml:space="preserve"> Rebe</w:t>
      </w:r>
    </w:p>
    <w:p w:rsidR="00D233E0" w:rsidRDefault="00D233E0" w:rsidP="00813440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2326"/>
        <w:gridCol w:w="3846"/>
      </w:tblGrid>
      <w:tr w:rsidR="00C071F5" w:rsidRPr="00C071F5">
        <w:tc>
          <w:tcPr>
            <w:tcW w:w="3168" w:type="dxa"/>
          </w:tcPr>
          <w:p w:rsidR="002A1B8A" w:rsidRDefault="002A1B8A" w:rsidP="002A1B8A">
            <w:pPr>
              <w:rPr>
                <w:b/>
                <w:sz w:val="36"/>
                <w:szCs w:val="36"/>
              </w:rPr>
            </w:pPr>
          </w:p>
          <w:p w:rsidR="008C694F" w:rsidRPr="008C694F" w:rsidRDefault="008C694F" w:rsidP="008C694F">
            <w:pPr>
              <w:spacing w:line="276" w:lineRule="auto"/>
              <w:rPr>
                <w:b/>
                <w:sz w:val="36"/>
                <w:szCs w:val="36"/>
              </w:rPr>
            </w:pPr>
            <w:r w:rsidRPr="008C694F">
              <w:rPr>
                <w:b/>
                <w:sz w:val="36"/>
                <w:szCs w:val="36"/>
              </w:rPr>
              <w:t>Presseinformation</w:t>
            </w:r>
          </w:p>
          <w:p w:rsidR="00C071F5" w:rsidRPr="00C071F5" w:rsidRDefault="00C071F5" w:rsidP="00DA5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6" w:type="dxa"/>
          </w:tcPr>
          <w:p w:rsidR="00813440" w:rsidRDefault="00813440" w:rsidP="00EB1137">
            <w:pPr>
              <w:rPr>
                <w:rFonts w:ascii="Arial" w:hAnsi="Arial" w:cs="Arial"/>
                <w:sz w:val="28"/>
                <w:szCs w:val="28"/>
              </w:rPr>
            </w:pPr>
          </w:p>
          <w:p w:rsidR="002A1B8A" w:rsidRPr="00C071F5" w:rsidRDefault="002A1B8A" w:rsidP="00EB1137">
            <w:pPr>
              <w:rPr>
                <w:rFonts w:ascii="Arial" w:hAnsi="Arial" w:cs="Arial"/>
                <w:sz w:val="28"/>
                <w:szCs w:val="28"/>
              </w:rPr>
            </w:pPr>
          </w:p>
          <w:p w:rsidR="00C071F5" w:rsidRPr="00C071F5" w:rsidRDefault="00C071F5" w:rsidP="00EB1137">
            <w:pPr>
              <w:rPr>
                <w:rFonts w:ascii="Arial" w:hAnsi="Arial" w:cs="Arial"/>
                <w:sz w:val="28"/>
                <w:szCs w:val="28"/>
              </w:rPr>
            </w:pPr>
          </w:p>
          <w:p w:rsidR="00C071F5" w:rsidRPr="00C071F5" w:rsidRDefault="00C071F5" w:rsidP="00EB1137">
            <w:pPr>
              <w:rPr>
                <w:rFonts w:ascii="Arial" w:hAnsi="Arial" w:cs="Arial"/>
                <w:sz w:val="28"/>
                <w:szCs w:val="28"/>
              </w:rPr>
            </w:pPr>
          </w:p>
          <w:p w:rsidR="00C071F5" w:rsidRPr="00C071F5" w:rsidRDefault="00C071F5" w:rsidP="00EB1137">
            <w:pPr>
              <w:rPr>
                <w:rFonts w:ascii="Arial" w:hAnsi="Arial" w:cs="Arial"/>
                <w:sz w:val="28"/>
                <w:szCs w:val="28"/>
              </w:rPr>
            </w:pPr>
          </w:p>
          <w:p w:rsidR="00C071F5" w:rsidRPr="00C071F5" w:rsidRDefault="00C071F5" w:rsidP="00EB11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6" w:type="dxa"/>
          </w:tcPr>
          <w:p w:rsidR="00813440" w:rsidRPr="00C071F5" w:rsidRDefault="00813440" w:rsidP="00EB1137">
            <w:pPr>
              <w:rPr>
                <w:rFonts w:ascii="Arial" w:hAnsi="Arial" w:cs="Arial"/>
                <w:sz w:val="28"/>
                <w:szCs w:val="28"/>
              </w:rPr>
            </w:pPr>
            <w:r w:rsidRPr="00C071F5">
              <w:rPr>
                <w:noProof/>
              </w:rPr>
              <w:drawing>
                <wp:inline distT="0" distB="0" distL="0" distR="0">
                  <wp:extent cx="2276475" cy="1562100"/>
                  <wp:effectExtent l="1905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D64" w:rsidRDefault="00A50D64" w:rsidP="00E260AA">
      <w:pPr>
        <w:rPr>
          <w:szCs w:val="20"/>
        </w:rPr>
      </w:pPr>
    </w:p>
    <w:p w:rsidR="00DA53E6" w:rsidRDefault="00DA53E6" w:rsidP="00DA53E6">
      <w:pPr>
        <w:jc w:val="right"/>
        <w:rPr>
          <w:szCs w:val="20"/>
        </w:rPr>
      </w:pPr>
      <w:r>
        <w:rPr>
          <w:szCs w:val="20"/>
        </w:rPr>
        <w:t>St. Georgen</w:t>
      </w:r>
      <w:r w:rsidR="00B155D3">
        <w:rPr>
          <w:szCs w:val="20"/>
        </w:rPr>
        <w:t>,</w:t>
      </w:r>
      <w:r>
        <w:rPr>
          <w:szCs w:val="20"/>
        </w:rPr>
        <w:t xml:space="preserve"> am </w:t>
      </w:r>
      <w:r w:rsidR="00B155D3">
        <w:rPr>
          <w:szCs w:val="20"/>
        </w:rPr>
        <w:t>4. Juni</w:t>
      </w:r>
      <w:r>
        <w:rPr>
          <w:szCs w:val="20"/>
        </w:rPr>
        <w:t xml:space="preserve"> 2018</w:t>
      </w:r>
    </w:p>
    <w:p w:rsidR="00490C94" w:rsidRPr="00490C94" w:rsidRDefault="00490C94" w:rsidP="00490C94">
      <w:pPr>
        <w:rPr>
          <w:b/>
          <w:sz w:val="22"/>
          <w:szCs w:val="22"/>
        </w:rPr>
      </w:pPr>
    </w:p>
    <w:p w:rsidR="00490C94" w:rsidRDefault="00B155D3" w:rsidP="00490C94">
      <w:pPr>
        <w:rPr>
          <w:b/>
          <w:sz w:val="22"/>
          <w:szCs w:val="22"/>
        </w:rPr>
      </w:pPr>
      <w:r>
        <w:rPr>
          <w:b/>
          <w:sz w:val="22"/>
          <w:szCs w:val="22"/>
        </w:rPr>
        <w:t>Rebblütenfest</w:t>
      </w:r>
    </w:p>
    <w:p w:rsidR="00DA53E6" w:rsidRPr="00490C94" w:rsidRDefault="00DA53E6" w:rsidP="00490C94">
      <w:pPr>
        <w:rPr>
          <w:b/>
          <w:sz w:val="22"/>
          <w:szCs w:val="22"/>
        </w:rPr>
      </w:pPr>
    </w:p>
    <w:p w:rsidR="00B155D3" w:rsidRPr="00F653F8" w:rsidRDefault="00B155D3" w:rsidP="00B155D3">
      <w:pPr>
        <w:spacing w:line="360" w:lineRule="auto"/>
        <w:rPr>
          <w:sz w:val="22"/>
        </w:rPr>
      </w:pPr>
      <w:r w:rsidRPr="00F653F8">
        <w:rPr>
          <w:sz w:val="22"/>
        </w:rPr>
        <w:t>Am Samstag, den 2. Juni 2018, ging in St. Georgen das 5. Rebblütenfest über die Bühne.</w:t>
      </w:r>
      <w:r w:rsidR="00F653F8" w:rsidRPr="00F653F8">
        <w:rPr>
          <w:sz w:val="22"/>
        </w:rPr>
        <w:t xml:space="preserve"> </w:t>
      </w:r>
      <w:r w:rsidRPr="00F653F8">
        <w:rPr>
          <w:sz w:val="22"/>
        </w:rPr>
        <w:t xml:space="preserve">Bei traumhaftem Wetter fanden sich knapp 200 weinsinnige Rebenpaten und Freunde der St. </w:t>
      </w:r>
      <w:proofErr w:type="spellStart"/>
      <w:r w:rsidRPr="00F653F8">
        <w:rPr>
          <w:sz w:val="22"/>
        </w:rPr>
        <w:t>Georgener</w:t>
      </w:r>
      <w:proofErr w:type="spellEnd"/>
      <w:r w:rsidRPr="00F653F8">
        <w:rPr>
          <w:sz w:val="22"/>
        </w:rPr>
        <w:t xml:space="preserve"> Rebe im Weingarten zur Grünen </w:t>
      </w:r>
      <w:proofErr w:type="spellStart"/>
      <w:r w:rsidRPr="00F653F8">
        <w:rPr>
          <w:sz w:val="22"/>
        </w:rPr>
        <w:t>Veltliner-Urrebe</w:t>
      </w:r>
      <w:proofErr w:type="spellEnd"/>
      <w:r w:rsidRPr="00F653F8">
        <w:rPr>
          <w:sz w:val="22"/>
        </w:rPr>
        <w:t xml:space="preserve"> in der Riede Viehtrift ein, um auf den 2017er anzustoßen. Mit ein Grund zum Feiern war der inzwischen praktisch vollständige Weingarten von 1.000 Reben dieser Versuchspflanzung</w:t>
      </w:r>
      <w:r w:rsidR="00FB1DC0">
        <w:rPr>
          <w:sz w:val="22"/>
        </w:rPr>
        <w:t>. Die</w:t>
      </w:r>
      <w:r w:rsidRPr="00F653F8">
        <w:rPr>
          <w:sz w:val="22"/>
        </w:rPr>
        <w:t xml:space="preserve"> (fast) abgeschlossene Rebblüte, welche für 2018 eine etwas höhere Erntemenge als 2017 (1.360/0,75-l) bringen kann und nicht zuletzt die inzwischen beachtliche Qualität des Wein</w:t>
      </w:r>
      <w:r w:rsidR="00F653F8" w:rsidRPr="00F653F8">
        <w:rPr>
          <w:sz w:val="22"/>
        </w:rPr>
        <w:t>e</w:t>
      </w:r>
      <w:r w:rsidRPr="00F653F8">
        <w:rPr>
          <w:sz w:val="22"/>
        </w:rPr>
        <w:t>s.</w:t>
      </w:r>
    </w:p>
    <w:p w:rsidR="00B155D3" w:rsidRPr="00F653F8" w:rsidRDefault="00B155D3" w:rsidP="00B155D3">
      <w:pPr>
        <w:spacing w:line="360" w:lineRule="auto"/>
        <w:rPr>
          <w:sz w:val="22"/>
        </w:rPr>
      </w:pPr>
    </w:p>
    <w:p w:rsidR="00B155D3" w:rsidRPr="00F653F8" w:rsidRDefault="00B155D3" w:rsidP="00B155D3">
      <w:pPr>
        <w:spacing w:line="360" w:lineRule="auto"/>
        <w:rPr>
          <w:sz w:val="22"/>
        </w:rPr>
      </w:pPr>
      <w:r w:rsidRPr="00F653F8">
        <w:rPr>
          <w:sz w:val="22"/>
        </w:rPr>
        <w:t xml:space="preserve">„Den historischen Ausführungen über herrschaftliche und klösterliche Besitzverhältnisse dieser Riede um 1400 und bis ins 16. Jahrhundert von Dorfhistoriker Michael </w:t>
      </w:r>
      <w:proofErr w:type="spellStart"/>
      <w:r w:rsidRPr="00F653F8">
        <w:rPr>
          <w:sz w:val="22"/>
        </w:rPr>
        <w:t>Leberl</w:t>
      </w:r>
      <w:proofErr w:type="spellEnd"/>
      <w:r w:rsidRPr="00F653F8">
        <w:rPr>
          <w:sz w:val="22"/>
        </w:rPr>
        <w:t xml:space="preserve"> wurde genauso begeistert applaudiert wie den interessanten</w:t>
      </w:r>
      <w:r w:rsidR="00F653F8" w:rsidRPr="00F653F8">
        <w:rPr>
          <w:sz w:val="22"/>
        </w:rPr>
        <w:t xml:space="preserve"> und</w:t>
      </w:r>
      <w:r w:rsidRPr="00F653F8">
        <w:rPr>
          <w:sz w:val="22"/>
        </w:rPr>
        <w:t xml:space="preserve"> weinbaulichen Erkenntnissen zu dieser uralten, </w:t>
      </w:r>
      <w:proofErr w:type="spellStart"/>
      <w:r w:rsidRPr="00F653F8">
        <w:rPr>
          <w:sz w:val="22"/>
        </w:rPr>
        <w:t>autochtonen</w:t>
      </w:r>
      <w:proofErr w:type="spellEnd"/>
      <w:r w:rsidRPr="00F653F8">
        <w:rPr>
          <w:sz w:val="22"/>
        </w:rPr>
        <w:t xml:space="preserve"> Rebsorte“, freut sich Obfrau Heidi Hahnekamp vom Verein zur Kultivierung der St. </w:t>
      </w:r>
      <w:proofErr w:type="spellStart"/>
      <w:r w:rsidRPr="00F653F8">
        <w:rPr>
          <w:sz w:val="22"/>
        </w:rPr>
        <w:t>Georgener</w:t>
      </w:r>
      <w:proofErr w:type="spellEnd"/>
      <w:r w:rsidRPr="00F653F8">
        <w:rPr>
          <w:sz w:val="22"/>
        </w:rPr>
        <w:t xml:space="preserve"> Rebe.</w:t>
      </w:r>
    </w:p>
    <w:p w:rsidR="00B155D3" w:rsidRPr="00F653F8" w:rsidRDefault="00B155D3" w:rsidP="00B155D3">
      <w:pPr>
        <w:spacing w:line="360" w:lineRule="auto"/>
        <w:rPr>
          <w:sz w:val="22"/>
        </w:rPr>
      </w:pPr>
      <w:r w:rsidRPr="00F653F8">
        <w:rPr>
          <w:sz w:val="22"/>
        </w:rPr>
        <w:t xml:space="preserve">„Letztendlich zeigt der Jahrgang 2017 schon sehr schön auf, welches Potenzial in dieser uralten Sorte steckt – wir können unsere Erwartungen punkto Weinqualität sicherlich noch um einiges höher ansetzen als ursprünglich erhofft“, so der Winzer und </w:t>
      </w:r>
      <w:proofErr w:type="spellStart"/>
      <w:r w:rsidRPr="00F653F8">
        <w:rPr>
          <w:sz w:val="22"/>
        </w:rPr>
        <w:t>Vereinsoenologe</w:t>
      </w:r>
      <w:proofErr w:type="spellEnd"/>
      <w:r w:rsidRPr="00F653F8">
        <w:rPr>
          <w:sz w:val="22"/>
        </w:rPr>
        <w:t xml:space="preserve"> Hans Moser.</w:t>
      </w:r>
    </w:p>
    <w:p w:rsidR="00B155D3" w:rsidRPr="00F653F8" w:rsidRDefault="00B155D3" w:rsidP="00B155D3">
      <w:pPr>
        <w:spacing w:line="360" w:lineRule="auto"/>
        <w:rPr>
          <w:sz w:val="22"/>
        </w:rPr>
      </w:pPr>
    </w:p>
    <w:p w:rsidR="00B155D3" w:rsidRPr="00F653F8" w:rsidRDefault="00B155D3" w:rsidP="00B155D3">
      <w:pPr>
        <w:spacing w:line="360" w:lineRule="auto"/>
        <w:rPr>
          <w:sz w:val="22"/>
        </w:rPr>
      </w:pPr>
      <w:r w:rsidRPr="00F653F8">
        <w:rPr>
          <w:sz w:val="22"/>
        </w:rPr>
        <w:t>Den 2017er gibt es ab sofort in limitierter Menge – solange der Vorrat reicht.</w:t>
      </w:r>
    </w:p>
    <w:p w:rsidR="00B155D3" w:rsidRDefault="00B155D3" w:rsidP="00490C94">
      <w:pPr>
        <w:spacing w:after="120"/>
        <w:rPr>
          <w:sz w:val="22"/>
          <w:szCs w:val="22"/>
        </w:rPr>
      </w:pPr>
    </w:p>
    <w:p w:rsidR="00490C94" w:rsidRPr="00490C94" w:rsidRDefault="00490C94" w:rsidP="00490C94">
      <w:pPr>
        <w:spacing w:after="120"/>
        <w:rPr>
          <w:sz w:val="22"/>
          <w:szCs w:val="22"/>
        </w:rPr>
      </w:pPr>
      <w:bookmarkStart w:id="0" w:name="_GoBack"/>
      <w:bookmarkEnd w:id="0"/>
      <w:r w:rsidRPr="00490C94">
        <w:rPr>
          <w:sz w:val="22"/>
          <w:szCs w:val="22"/>
        </w:rPr>
        <w:t xml:space="preserve">Der Verein zur Kultivierung der St. </w:t>
      </w:r>
      <w:proofErr w:type="spellStart"/>
      <w:r w:rsidRPr="00490C94">
        <w:rPr>
          <w:sz w:val="22"/>
          <w:szCs w:val="22"/>
        </w:rPr>
        <w:t>Georgener</w:t>
      </w:r>
      <w:proofErr w:type="spellEnd"/>
      <w:r w:rsidRPr="00490C94">
        <w:rPr>
          <w:sz w:val="22"/>
          <w:szCs w:val="22"/>
        </w:rPr>
        <w:t xml:space="preserve"> Rebe</w:t>
      </w:r>
    </w:p>
    <w:p w:rsidR="00490C94" w:rsidRDefault="00490C94" w:rsidP="00CE54CE">
      <w:pPr>
        <w:rPr>
          <w:sz w:val="22"/>
          <w:szCs w:val="22"/>
        </w:rPr>
      </w:pPr>
    </w:p>
    <w:p w:rsidR="00CE54CE" w:rsidRPr="00490C94" w:rsidRDefault="00CE54CE" w:rsidP="00CE54CE">
      <w:pPr>
        <w:rPr>
          <w:sz w:val="22"/>
          <w:szCs w:val="22"/>
        </w:rPr>
      </w:pPr>
    </w:p>
    <w:p w:rsidR="00490C94" w:rsidRPr="00490C94" w:rsidRDefault="00490C94" w:rsidP="003C6827">
      <w:pPr>
        <w:rPr>
          <w:sz w:val="22"/>
          <w:szCs w:val="22"/>
        </w:rPr>
      </w:pPr>
      <w:r w:rsidRPr="00490C94">
        <w:rPr>
          <w:sz w:val="22"/>
          <w:szCs w:val="22"/>
        </w:rPr>
        <w:t>Adelheid Hahnekamp</w:t>
      </w:r>
      <w:r w:rsidRPr="00490C94">
        <w:rPr>
          <w:sz w:val="22"/>
          <w:szCs w:val="22"/>
        </w:rPr>
        <w:tab/>
        <w:t xml:space="preserve">    Hans Moser</w:t>
      </w:r>
      <w:r w:rsidRPr="00490C94">
        <w:rPr>
          <w:sz w:val="22"/>
          <w:szCs w:val="22"/>
        </w:rPr>
        <w:tab/>
        <w:t xml:space="preserve">        Christian Zechmeister</w:t>
      </w:r>
      <w:r w:rsidRPr="00490C94">
        <w:rPr>
          <w:sz w:val="22"/>
          <w:szCs w:val="22"/>
        </w:rPr>
        <w:tab/>
        <w:t>Stefan Lichtscheidl</w:t>
      </w:r>
    </w:p>
    <w:p w:rsidR="00FC7CCF" w:rsidRPr="00FC7CCF" w:rsidRDefault="00490C94" w:rsidP="003C6827">
      <w:pPr>
        <w:rPr>
          <w:sz w:val="22"/>
          <w:szCs w:val="22"/>
        </w:rPr>
      </w:pPr>
      <w:r w:rsidRPr="00490C94">
        <w:rPr>
          <w:sz w:val="22"/>
          <w:szCs w:val="22"/>
        </w:rPr>
        <w:t xml:space="preserve">           Obfrau</w:t>
      </w:r>
      <w:r w:rsidRPr="00490C94">
        <w:rPr>
          <w:sz w:val="22"/>
          <w:szCs w:val="22"/>
        </w:rPr>
        <w:tab/>
      </w:r>
      <w:r w:rsidRPr="00490C94">
        <w:rPr>
          <w:sz w:val="22"/>
          <w:szCs w:val="22"/>
        </w:rPr>
        <w:tab/>
        <w:t xml:space="preserve">  </w:t>
      </w:r>
      <w:proofErr w:type="spellStart"/>
      <w:r w:rsidRPr="00490C94">
        <w:rPr>
          <w:sz w:val="22"/>
          <w:szCs w:val="22"/>
        </w:rPr>
        <w:t>Obm.stellvertr</w:t>
      </w:r>
      <w:proofErr w:type="spellEnd"/>
      <w:r w:rsidRPr="00490C94">
        <w:rPr>
          <w:sz w:val="22"/>
          <w:szCs w:val="22"/>
        </w:rPr>
        <w:t>.</w:t>
      </w:r>
      <w:r w:rsidRPr="00490C94">
        <w:rPr>
          <w:sz w:val="22"/>
          <w:szCs w:val="22"/>
        </w:rPr>
        <w:tab/>
      </w:r>
      <w:proofErr w:type="spellStart"/>
      <w:r w:rsidRPr="00490C94">
        <w:rPr>
          <w:sz w:val="22"/>
          <w:szCs w:val="22"/>
        </w:rPr>
        <w:t>Obm.stellvertr</w:t>
      </w:r>
      <w:proofErr w:type="spellEnd"/>
      <w:r w:rsidRPr="00490C94">
        <w:rPr>
          <w:sz w:val="22"/>
          <w:szCs w:val="22"/>
        </w:rPr>
        <w:t>.</w:t>
      </w:r>
      <w:r w:rsidRPr="00490C94">
        <w:rPr>
          <w:sz w:val="22"/>
          <w:szCs w:val="22"/>
        </w:rPr>
        <w:tab/>
      </w:r>
      <w:r w:rsidRPr="00490C94">
        <w:rPr>
          <w:sz w:val="22"/>
          <w:szCs w:val="22"/>
        </w:rPr>
        <w:tab/>
        <w:t xml:space="preserve">    </w:t>
      </w:r>
      <w:proofErr w:type="spellStart"/>
      <w:r w:rsidRPr="00490C94">
        <w:rPr>
          <w:sz w:val="22"/>
          <w:szCs w:val="22"/>
        </w:rPr>
        <w:t>Obm.stellvertr</w:t>
      </w:r>
      <w:proofErr w:type="spellEnd"/>
      <w:r w:rsidRPr="00490C94">
        <w:rPr>
          <w:sz w:val="22"/>
          <w:szCs w:val="22"/>
        </w:rPr>
        <w:t>.</w:t>
      </w:r>
    </w:p>
    <w:sectPr w:rsidR="00FC7CCF" w:rsidRPr="00FC7CCF" w:rsidSect="003C6827">
      <w:footerReference w:type="default" r:id="rId9"/>
      <w:pgSz w:w="11906" w:h="16838"/>
      <w:pgMar w:top="851" w:right="907" w:bottom="397" w:left="907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59" w:rsidRDefault="00402D59">
      <w:r>
        <w:separator/>
      </w:r>
    </w:p>
  </w:endnote>
  <w:endnote w:type="continuationSeparator" w:id="0">
    <w:p w:rsidR="00402D59" w:rsidRDefault="00402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0C" w:rsidRPr="00490C94" w:rsidRDefault="00A4300C" w:rsidP="00A4300C">
    <w:pPr>
      <w:pStyle w:val="Fuzeile"/>
      <w:jc w:val="center"/>
      <w:rPr>
        <w:sz w:val="22"/>
        <w:szCs w:val="22"/>
      </w:rPr>
    </w:pPr>
    <w:r w:rsidRPr="00490C94">
      <w:rPr>
        <w:b/>
        <w:sz w:val="22"/>
        <w:szCs w:val="22"/>
      </w:rPr>
      <w:t xml:space="preserve">Verein zur Kultivierung der St. </w:t>
    </w:r>
    <w:proofErr w:type="spellStart"/>
    <w:r w:rsidRPr="00490C94">
      <w:rPr>
        <w:b/>
        <w:sz w:val="22"/>
        <w:szCs w:val="22"/>
      </w:rPr>
      <w:t>Georgener</w:t>
    </w:r>
    <w:proofErr w:type="spellEnd"/>
    <w:r w:rsidRPr="00490C94">
      <w:rPr>
        <w:b/>
        <w:sz w:val="22"/>
        <w:szCs w:val="22"/>
      </w:rPr>
      <w:t xml:space="preserve"> Rebe</w:t>
    </w:r>
    <w:r w:rsidRPr="00490C94">
      <w:rPr>
        <w:b/>
        <w:sz w:val="22"/>
        <w:szCs w:val="22"/>
      </w:rPr>
      <w:br/>
    </w:r>
    <w:r w:rsidRPr="00490C94">
      <w:rPr>
        <w:sz w:val="22"/>
        <w:szCs w:val="22"/>
      </w:rPr>
      <w:t xml:space="preserve">Obfrau Adelheid Hahnekamp, St. </w:t>
    </w:r>
    <w:proofErr w:type="spellStart"/>
    <w:r w:rsidRPr="00490C94">
      <w:rPr>
        <w:sz w:val="22"/>
        <w:szCs w:val="22"/>
      </w:rPr>
      <w:t>Georgener</w:t>
    </w:r>
    <w:proofErr w:type="spellEnd"/>
    <w:r w:rsidRPr="00490C94">
      <w:rPr>
        <w:sz w:val="22"/>
        <w:szCs w:val="22"/>
      </w:rPr>
      <w:t xml:space="preserve"> Hauptstraße 42, 7000 Eisenstadt</w:t>
    </w:r>
    <w:r w:rsidRPr="00490C94">
      <w:rPr>
        <w:sz w:val="22"/>
        <w:szCs w:val="22"/>
      </w:rPr>
      <w:br/>
      <w:t xml:space="preserve">Tel.: 0650/8262729 / </w:t>
    </w:r>
    <w:hyperlink r:id="rId1" w:history="1">
      <w:r w:rsidRPr="00490C94">
        <w:rPr>
          <w:rStyle w:val="Link"/>
          <w:color w:val="auto"/>
          <w:sz w:val="22"/>
          <w:szCs w:val="22"/>
        </w:rPr>
        <w:t>www.georgirebe.at</w:t>
      </w:r>
    </w:hyperlink>
    <w:r w:rsidRPr="00490C94">
      <w:rPr>
        <w:sz w:val="22"/>
        <w:szCs w:val="22"/>
      </w:rPr>
      <w:t xml:space="preserve"> / </w:t>
    </w:r>
    <w:r w:rsidR="00530A1B" w:rsidRPr="00490C94">
      <w:rPr>
        <w:sz w:val="22"/>
        <w:szCs w:val="22"/>
        <w:u w:val="single"/>
      </w:rPr>
      <w:t>heidi.hahnekamp@bkf.at</w:t>
    </w:r>
    <w:r w:rsidRPr="00490C94">
      <w:rPr>
        <w:sz w:val="22"/>
        <w:szCs w:val="22"/>
      </w:rPr>
      <w:br/>
      <w:t>ZVR:563.457.561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59" w:rsidRDefault="00402D59">
      <w:r>
        <w:separator/>
      </w:r>
    </w:p>
  </w:footnote>
  <w:footnote w:type="continuationSeparator" w:id="0">
    <w:p w:rsidR="00402D59" w:rsidRDefault="00402D5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5A2F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143B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665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FA71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80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089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C0D8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60B9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C6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F20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CE76DF"/>
    <w:multiLevelType w:val="hybridMultilevel"/>
    <w:tmpl w:val="486A8D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674E8"/>
    <w:multiLevelType w:val="hybridMultilevel"/>
    <w:tmpl w:val="27427B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4B4A"/>
    <w:multiLevelType w:val="hybridMultilevel"/>
    <w:tmpl w:val="8BD6F84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466A67"/>
    <w:multiLevelType w:val="hybridMultilevel"/>
    <w:tmpl w:val="6560A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CE"/>
    <w:rsid w:val="000C3E73"/>
    <w:rsid w:val="000C4707"/>
    <w:rsid w:val="000E546D"/>
    <w:rsid w:val="00105F66"/>
    <w:rsid w:val="001564BA"/>
    <w:rsid w:val="00182712"/>
    <w:rsid w:val="001D745D"/>
    <w:rsid w:val="001F6288"/>
    <w:rsid w:val="001F75D8"/>
    <w:rsid w:val="0020378C"/>
    <w:rsid w:val="00215C26"/>
    <w:rsid w:val="00220AF2"/>
    <w:rsid w:val="00293633"/>
    <w:rsid w:val="002A1B8A"/>
    <w:rsid w:val="002E29B5"/>
    <w:rsid w:val="002E451C"/>
    <w:rsid w:val="00321D93"/>
    <w:rsid w:val="003C6827"/>
    <w:rsid w:val="003E6B33"/>
    <w:rsid w:val="00402D59"/>
    <w:rsid w:val="0042722E"/>
    <w:rsid w:val="0047375A"/>
    <w:rsid w:val="00477C13"/>
    <w:rsid w:val="00487BBA"/>
    <w:rsid w:val="00490C94"/>
    <w:rsid w:val="0049353F"/>
    <w:rsid w:val="004C0675"/>
    <w:rsid w:val="004F2E85"/>
    <w:rsid w:val="005026CB"/>
    <w:rsid w:val="00530A1B"/>
    <w:rsid w:val="005677CF"/>
    <w:rsid w:val="0059144D"/>
    <w:rsid w:val="005E75C3"/>
    <w:rsid w:val="006E6581"/>
    <w:rsid w:val="00776327"/>
    <w:rsid w:val="007875A5"/>
    <w:rsid w:val="007937DD"/>
    <w:rsid w:val="00813440"/>
    <w:rsid w:val="008A1DE1"/>
    <w:rsid w:val="008C694F"/>
    <w:rsid w:val="008D0BCE"/>
    <w:rsid w:val="008F2AB0"/>
    <w:rsid w:val="009221A3"/>
    <w:rsid w:val="009268DF"/>
    <w:rsid w:val="00937BD0"/>
    <w:rsid w:val="00970A25"/>
    <w:rsid w:val="00990AD2"/>
    <w:rsid w:val="009A2F48"/>
    <w:rsid w:val="00A2674A"/>
    <w:rsid w:val="00A4300C"/>
    <w:rsid w:val="00A50D64"/>
    <w:rsid w:val="00A6153F"/>
    <w:rsid w:val="00A72F59"/>
    <w:rsid w:val="00AA010E"/>
    <w:rsid w:val="00AA42D4"/>
    <w:rsid w:val="00AC6BA3"/>
    <w:rsid w:val="00AC7E12"/>
    <w:rsid w:val="00AD42A0"/>
    <w:rsid w:val="00B14285"/>
    <w:rsid w:val="00B155D3"/>
    <w:rsid w:val="00B464F7"/>
    <w:rsid w:val="00B6739D"/>
    <w:rsid w:val="00BE6DF2"/>
    <w:rsid w:val="00C071F5"/>
    <w:rsid w:val="00C16009"/>
    <w:rsid w:val="00C17357"/>
    <w:rsid w:val="00C31E6B"/>
    <w:rsid w:val="00C53104"/>
    <w:rsid w:val="00C65435"/>
    <w:rsid w:val="00CE54CE"/>
    <w:rsid w:val="00D233E0"/>
    <w:rsid w:val="00DA011B"/>
    <w:rsid w:val="00DA53E6"/>
    <w:rsid w:val="00DD3D72"/>
    <w:rsid w:val="00E260AA"/>
    <w:rsid w:val="00E35E12"/>
    <w:rsid w:val="00E9221B"/>
    <w:rsid w:val="00E96AB5"/>
    <w:rsid w:val="00F013ED"/>
    <w:rsid w:val="00F3258A"/>
    <w:rsid w:val="00F35D81"/>
    <w:rsid w:val="00F653F8"/>
    <w:rsid w:val="00FA1DE3"/>
    <w:rsid w:val="00FB1DC0"/>
    <w:rsid w:val="00FC1169"/>
    <w:rsid w:val="00FC58F3"/>
    <w:rsid w:val="00FC7CCF"/>
  </w:rsids>
  <m:mathPr>
    <m:mathFont m:val="25 Helvetica Ultra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4285"/>
    <w:rPr>
      <w:rFonts w:ascii="Times New Roman" w:hAnsi="Times New Roman"/>
      <w:sz w:val="24"/>
      <w:szCs w:val="24"/>
      <w:lang w:val="de-DE"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0BC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0BCE"/>
    <w:rPr>
      <w:rFonts w:ascii="Tahoma" w:hAnsi="Tahoma" w:cs="Tahoma"/>
      <w:sz w:val="16"/>
      <w:szCs w:val="16"/>
      <w:lang w:val="de-DE" w:eastAsia="de-DE"/>
    </w:rPr>
  </w:style>
  <w:style w:type="character" w:styleId="Link">
    <w:name w:val="Hyperlink"/>
    <w:basedOn w:val="Absatzstandardschriftart"/>
    <w:rsid w:val="00A2674A"/>
    <w:rPr>
      <w:color w:val="0000FF"/>
      <w:u w:val="single"/>
    </w:rPr>
  </w:style>
  <w:style w:type="table" w:styleId="Tabellenraster">
    <w:name w:val="Table Grid"/>
    <w:basedOn w:val="NormaleTabelle"/>
    <w:rsid w:val="003E6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AD42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42A0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430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4285"/>
    <w:rPr>
      <w:rFonts w:ascii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B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BCE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A2674A"/>
    <w:rPr>
      <w:color w:val="0000FF"/>
      <w:u w:val="single"/>
    </w:rPr>
  </w:style>
  <w:style w:type="table" w:styleId="Tabellenraster">
    <w:name w:val="Table Grid"/>
    <w:basedOn w:val="NormaleTabelle"/>
    <w:rsid w:val="003E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D42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42A0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430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rgirebe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F002-7602-2244-ADDF-F86C8721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1702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http://www.georgirebe.at/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Simon</dc:creator>
  <cp:lastModifiedBy>Bernhard Rauchbauer</cp:lastModifiedBy>
  <cp:revision>2</cp:revision>
  <cp:lastPrinted>2018-05-25T06:26:00Z</cp:lastPrinted>
  <dcterms:created xsi:type="dcterms:W3CDTF">2018-06-04T09:40:00Z</dcterms:created>
  <dcterms:modified xsi:type="dcterms:W3CDTF">2018-06-04T09:40:00Z</dcterms:modified>
</cp:coreProperties>
</file>